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C901BE" w:rsidRDefault="009413BC" w:rsidP="00B40F46">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C901BE">
        <w:rPr>
          <w:rFonts w:ascii="Calibri" w:eastAsia="Times New Roman" w:hAnsi="Calibri" w:cs="Times New Roman"/>
          <w:b/>
          <w:bCs/>
          <w:sz w:val="32"/>
          <w:szCs w:val="24"/>
          <w:lang w:eastAsia="es-MX"/>
        </w:rPr>
        <w:t xml:space="preserve">Validación de la </w:t>
      </w:r>
      <w:r w:rsidR="00C901BE" w:rsidRPr="00C901BE">
        <w:rPr>
          <w:rFonts w:ascii="Calibri" w:eastAsia="Times New Roman" w:hAnsi="Calibri" w:cs="Times New Roman"/>
          <w:b/>
          <w:bCs/>
          <w:sz w:val="32"/>
          <w:szCs w:val="24"/>
          <w:lang w:eastAsia="es-MX"/>
        </w:rPr>
        <w:t xml:space="preserve">tabla de aplicabilidad </w:t>
      </w:r>
      <w:r w:rsidRPr="00C901BE">
        <w:rPr>
          <w:rFonts w:ascii="Calibri" w:eastAsia="Times New Roman" w:hAnsi="Calibri" w:cs="Times New Roman"/>
          <w:b/>
          <w:bCs/>
          <w:sz w:val="32"/>
          <w:szCs w:val="24"/>
          <w:lang w:eastAsia="es-MX"/>
        </w:rPr>
        <w:t>de las obligaciones de transparencia comunes del Poder Ejecutivo</w:t>
      </w:r>
    </w:p>
    <w:p w:rsidR="009413BC" w:rsidRPr="00C901BE" w:rsidRDefault="009413BC" w:rsidP="00B40F46">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C901BE" w:rsidRDefault="009413BC" w:rsidP="00B40F46">
      <w:pPr>
        <w:tabs>
          <w:tab w:val="left" w:pos="216"/>
        </w:tabs>
        <w:spacing w:after="0" w:line="240" w:lineRule="auto"/>
        <w:ind w:left="70"/>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Dependencia o entidad</w:t>
      </w:r>
      <w:r w:rsidR="00FC68C1" w:rsidRPr="00C901BE">
        <w:rPr>
          <w:rFonts w:ascii="Calibri" w:eastAsia="Times New Roman" w:hAnsi="Calibri" w:cs="Times New Roman"/>
          <w:b/>
          <w:bCs/>
          <w:sz w:val="32"/>
          <w:szCs w:val="24"/>
          <w:lang w:eastAsia="es-MX"/>
        </w:rPr>
        <w:t>: GUBERNATURA</w:t>
      </w:r>
    </w:p>
    <w:p w:rsidR="009413BC" w:rsidRPr="00C901BE" w:rsidRDefault="009413BC" w:rsidP="00B40F46">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C901BE" w:rsidRPr="00C901BE" w:rsidTr="00E60E9D">
        <w:trPr>
          <w:trHeight w:val="611"/>
        </w:trPr>
        <w:tc>
          <w:tcPr>
            <w:tcW w:w="5672" w:type="dxa"/>
            <w:shd w:val="clear" w:color="auto" w:fill="D6E3BC" w:themeFill="accent3" w:themeFillTint="66"/>
            <w:vAlign w:val="center"/>
          </w:tcPr>
          <w:p w:rsidR="009413BC" w:rsidRPr="00C901BE" w:rsidRDefault="009413BC" w:rsidP="00B40F46">
            <w:pPr>
              <w:tabs>
                <w:tab w:val="left" w:pos="216"/>
              </w:tabs>
              <w:ind w:left="70"/>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C901BE" w:rsidRDefault="009413BC"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Documento de origen:</w:t>
            </w:r>
          </w:p>
        </w:tc>
      </w:tr>
      <w:tr w:rsidR="00C901BE" w:rsidRPr="00C901BE" w:rsidTr="00E60E9D">
        <w:tc>
          <w:tcPr>
            <w:tcW w:w="567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Administración Centralizada</w:t>
            </w:r>
          </w:p>
        </w:tc>
        <w:tc>
          <w:tcPr>
            <w:tcW w:w="4392" w:type="dxa"/>
          </w:tcPr>
          <w:p w:rsidR="009413BC" w:rsidRPr="00C901BE" w:rsidRDefault="002F4773"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Constitución Política del estado Libre y Soberano de Oaxaca</w:t>
            </w:r>
          </w:p>
        </w:tc>
      </w:tr>
      <w:tr w:rsidR="00C901BE" w:rsidRPr="00C901BE" w:rsidTr="00E60E9D">
        <w:tc>
          <w:tcPr>
            <w:tcW w:w="567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Desconcentrado</w:t>
            </w:r>
          </w:p>
        </w:tc>
        <w:tc>
          <w:tcPr>
            <w:tcW w:w="439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p>
        </w:tc>
      </w:tr>
      <w:tr w:rsidR="00C901BE" w:rsidRPr="00C901BE" w:rsidTr="00E60E9D">
        <w:tc>
          <w:tcPr>
            <w:tcW w:w="567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Descentralizado</w:t>
            </w:r>
          </w:p>
        </w:tc>
        <w:tc>
          <w:tcPr>
            <w:tcW w:w="439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p>
        </w:tc>
      </w:tr>
      <w:tr w:rsidR="00C901BE" w:rsidRPr="00C901BE" w:rsidTr="00E60E9D">
        <w:tc>
          <w:tcPr>
            <w:tcW w:w="567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Empresa de Participación Estatal Mayoritaria</w:t>
            </w:r>
          </w:p>
        </w:tc>
        <w:tc>
          <w:tcPr>
            <w:tcW w:w="439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p>
        </w:tc>
      </w:tr>
      <w:tr w:rsidR="009413BC" w:rsidRPr="00C901BE" w:rsidTr="00E60E9D">
        <w:tc>
          <w:tcPr>
            <w:tcW w:w="567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r w:rsidRPr="00C901BE">
              <w:rPr>
                <w:rFonts w:ascii="Calibri" w:eastAsia="Times New Roman" w:hAnsi="Calibri" w:cs="Times New Roman"/>
                <w:b/>
                <w:bCs/>
                <w:sz w:val="32"/>
                <w:szCs w:val="24"/>
                <w:lang w:eastAsia="es-MX"/>
              </w:rPr>
              <w:t>Fideicomisos, Fondos y Mandatos</w:t>
            </w:r>
          </w:p>
        </w:tc>
        <w:tc>
          <w:tcPr>
            <w:tcW w:w="4392" w:type="dxa"/>
          </w:tcPr>
          <w:p w:rsidR="009413BC" w:rsidRPr="00C901BE" w:rsidRDefault="009413BC" w:rsidP="00B40F46">
            <w:pPr>
              <w:tabs>
                <w:tab w:val="left" w:pos="216"/>
              </w:tabs>
              <w:jc w:val="both"/>
              <w:rPr>
                <w:rFonts w:ascii="Calibri" w:eastAsia="Times New Roman" w:hAnsi="Calibri" w:cs="Times New Roman"/>
                <w:b/>
                <w:bCs/>
                <w:sz w:val="32"/>
                <w:szCs w:val="24"/>
                <w:lang w:eastAsia="es-MX"/>
              </w:rPr>
            </w:pPr>
          </w:p>
        </w:tc>
      </w:tr>
    </w:tbl>
    <w:p w:rsidR="009413BC" w:rsidRPr="00C901BE" w:rsidRDefault="009413BC" w:rsidP="00B40F46">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C901BE" w:rsidRDefault="009413BC" w:rsidP="00B40F46">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C901BE" w:rsidRDefault="000F7861" w:rsidP="00B40F46">
      <w:pPr>
        <w:tabs>
          <w:tab w:val="left" w:pos="216"/>
        </w:tabs>
        <w:spacing w:after="0" w:line="240" w:lineRule="auto"/>
        <w:ind w:left="70"/>
        <w:jc w:val="both"/>
        <w:rPr>
          <w:rFonts w:ascii="Calibri" w:eastAsia="Times New Roman" w:hAnsi="Calibri" w:cs="Times New Roman"/>
          <w:b/>
          <w:bCs/>
          <w:sz w:val="32"/>
          <w:szCs w:val="24"/>
          <w:lang w:eastAsia="es-MX"/>
        </w:rPr>
      </w:pPr>
    </w:p>
    <w:tbl>
      <w:tblPr>
        <w:tblW w:w="14305" w:type="dxa"/>
        <w:tblLayout w:type="fixed"/>
        <w:tblCellMar>
          <w:left w:w="70" w:type="dxa"/>
          <w:right w:w="70" w:type="dxa"/>
        </w:tblCellMar>
        <w:tblLook w:val="04A0" w:firstRow="1" w:lastRow="0" w:firstColumn="1" w:lastColumn="0" w:noHBand="0" w:noVBand="1"/>
      </w:tblPr>
      <w:tblGrid>
        <w:gridCol w:w="1338"/>
        <w:gridCol w:w="3221"/>
        <w:gridCol w:w="1448"/>
        <w:gridCol w:w="2396"/>
        <w:gridCol w:w="1504"/>
        <w:gridCol w:w="1298"/>
        <w:gridCol w:w="1832"/>
        <w:gridCol w:w="1268"/>
      </w:tblGrid>
      <w:tr w:rsidR="00C901BE" w:rsidRPr="00C901BE" w:rsidTr="00A67581">
        <w:trPr>
          <w:trHeight w:val="899"/>
          <w:tblHeader/>
        </w:trPr>
        <w:tc>
          <w:tcPr>
            <w:tcW w:w="13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ARTÍCULO</w:t>
            </w:r>
          </w:p>
        </w:tc>
        <w:tc>
          <w:tcPr>
            <w:tcW w:w="322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FRACCIÓN</w:t>
            </w:r>
          </w:p>
        </w:tc>
        <w:tc>
          <w:tcPr>
            <w:tcW w:w="144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APLICA/NO APLICA</w:t>
            </w:r>
          </w:p>
        </w:tc>
        <w:tc>
          <w:tcPr>
            <w:tcW w:w="239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MOTIVACIÓN</w:t>
            </w:r>
          </w:p>
        </w:tc>
        <w:tc>
          <w:tcPr>
            <w:tcW w:w="150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FUNDAMENTO</w:t>
            </w:r>
          </w:p>
        </w:tc>
        <w:tc>
          <w:tcPr>
            <w:tcW w:w="129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16"/>
                <w:szCs w:val="20"/>
                <w:lang w:eastAsia="es-MX"/>
              </w:rPr>
              <w:t>UNIDAD ADMINISTRATIVA RESPONSABLE DE GENERAR LA INFORMACIÓN</w:t>
            </w:r>
          </w:p>
        </w:tc>
        <w:tc>
          <w:tcPr>
            <w:tcW w:w="183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OBSERVACIONES</w:t>
            </w:r>
          </w:p>
        </w:tc>
        <w:tc>
          <w:tcPr>
            <w:tcW w:w="12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C901BE" w:rsidRDefault="009413BC" w:rsidP="00B40F46">
            <w:pPr>
              <w:spacing w:after="0" w:line="240" w:lineRule="auto"/>
              <w:jc w:val="both"/>
              <w:rPr>
                <w:rFonts w:eastAsia="Times New Roman" w:cs="Times New Roman"/>
                <w:b/>
                <w:sz w:val="20"/>
                <w:szCs w:val="20"/>
                <w:lang w:eastAsia="es-MX"/>
              </w:rPr>
            </w:pPr>
            <w:r w:rsidRPr="00C901BE">
              <w:rPr>
                <w:rFonts w:eastAsia="Times New Roman" w:cs="Times New Roman"/>
                <w:b/>
                <w:sz w:val="20"/>
                <w:szCs w:val="20"/>
                <w:lang w:eastAsia="es-MX"/>
              </w:rPr>
              <w:t>VALIDACIÓN IAIP</w:t>
            </w:r>
          </w:p>
        </w:tc>
      </w:tr>
      <w:tr w:rsidR="00C901BE" w:rsidRPr="00C901BE" w:rsidTr="00A67581">
        <w:trPr>
          <w:trHeight w:val="700"/>
        </w:trPr>
        <w:tc>
          <w:tcPr>
            <w:tcW w:w="1338" w:type="dxa"/>
            <w:vMerge w:val="restart"/>
            <w:tcBorders>
              <w:top w:val="single" w:sz="4" w:space="0" w:color="auto"/>
              <w:left w:val="single" w:sz="4" w:space="0" w:color="auto"/>
              <w:right w:val="single" w:sz="4" w:space="0" w:color="auto"/>
            </w:tcBorders>
            <w:shd w:val="clear" w:color="auto" w:fill="auto"/>
            <w:vAlign w:val="center"/>
            <w:hideMark/>
          </w:tcPr>
          <w:p w:rsidR="009413BC" w:rsidRPr="00C901BE" w:rsidRDefault="009413BC"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 xml:space="preserve">En la Ley Federal y de las Entidades Federativas se contemplará que los sujetos </w:t>
            </w:r>
            <w:r w:rsidRPr="00C901BE">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C901BE" w:rsidRDefault="009413BC" w:rsidP="00B40F46">
            <w:pPr>
              <w:spacing w:after="0" w:line="240" w:lineRule="auto"/>
              <w:jc w:val="both"/>
              <w:rPr>
                <w:rFonts w:eastAsia="Times New Roman" w:cs="Times New Roman"/>
                <w:i/>
                <w:iCs/>
                <w:sz w:val="18"/>
                <w:szCs w:val="18"/>
                <w:lang w:eastAsia="es-MX"/>
              </w:rPr>
            </w:pPr>
            <w:r w:rsidRPr="00C901BE">
              <w:rPr>
                <w:rFonts w:eastAsia="Times New Roman" w:cs="Times New Roman"/>
                <w:i/>
                <w:iCs/>
                <w:sz w:val="18"/>
                <w:szCs w:val="18"/>
                <w:lang w:eastAsia="es-MX"/>
              </w:rPr>
              <w:br/>
              <w:t>…</w:t>
            </w:r>
          </w:p>
        </w:tc>
        <w:tc>
          <w:tcPr>
            <w:tcW w:w="3221" w:type="dxa"/>
            <w:tcBorders>
              <w:top w:val="single" w:sz="4" w:space="0" w:color="auto"/>
              <w:left w:val="nil"/>
              <w:bottom w:val="single" w:sz="4" w:space="0" w:color="auto"/>
              <w:right w:val="single" w:sz="4" w:space="0" w:color="auto"/>
            </w:tcBorders>
            <w:shd w:val="clear" w:color="auto" w:fill="auto"/>
            <w:hideMark/>
          </w:tcPr>
          <w:p w:rsidR="009413BC" w:rsidRPr="00C901BE" w:rsidRDefault="009413BC"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 xml:space="preserve">Fracción I </w:t>
            </w:r>
            <w:r w:rsidRPr="00C901BE">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C901BE" w:rsidRDefault="009413BC" w:rsidP="00B40F46">
            <w:pPr>
              <w:spacing w:after="0" w:line="240" w:lineRule="auto"/>
              <w:jc w:val="both"/>
              <w:rPr>
                <w:rFonts w:eastAsia="Times New Roman" w:cs="Times New Roman"/>
                <w:i/>
                <w:iCs/>
                <w:sz w:val="18"/>
                <w:szCs w:val="18"/>
                <w:lang w:eastAsia="es-MX"/>
              </w:rPr>
            </w:pPr>
          </w:p>
        </w:tc>
        <w:tc>
          <w:tcPr>
            <w:tcW w:w="1448" w:type="dxa"/>
            <w:tcBorders>
              <w:top w:val="single" w:sz="4" w:space="0" w:color="auto"/>
              <w:left w:val="nil"/>
              <w:bottom w:val="single" w:sz="4" w:space="0" w:color="auto"/>
              <w:right w:val="single" w:sz="4" w:space="0" w:color="auto"/>
            </w:tcBorders>
            <w:shd w:val="clear" w:color="auto" w:fill="auto"/>
            <w:vAlign w:val="center"/>
          </w:tcPr>
          <w:p w:rsidR="009413BC" w:rsidRPr="00C901BE" w:rsidRDefault="00904E68"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single" w:sz="4" w:space="0" w:color="auto"/>
              <w:left w:val="nil"/>
              <w:bottom w:val="single" w:sz="4" w:space="0" w:color="auto"/>
              <w:right w:val="single" w:sz="4" w:space="0" w:color="auto"/>
            </w:tcBorders>
            <w:shd w:val="clear" w:color="auto" w:fill="auto"/>
            <w:vAlign w:val="center"/>
          </w:tcPr>
          <w:p w:rsidR="009413BC" w:rsidRPr="00C901BE" w:rsidRDefault="009413BC"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9413BC" w:rsidRPr="00C901BE" w:rsidRDefault="009413BC"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9413BC"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dirección administrativa</w:t>
            </w:r>
          </w:p>
        </w:tc>
        <w:tc>
          <w:tcPr>
            <w:tcW w:w="1832" w:type="dxa"/>
            <w:tcBorders>
              <w:top w:val="single" w:sz="4" w:space="0" w:color="auto"/>
              <w:left w:val="single" w:sz="4" w:space="0" w:color="auto"/>
              <w:bottom w:val="single" w:sz="4" w:space="0" w:color="auto"/>
              <w:right w:val="single" w:sz="4" w:space="0" w:color="auto"/>
            </w:tcBorders>
          </w:tcPr>
          <w:p w:rsidR="009413BC" w:rsidRPr="00C901BE" w:rsidRDefault="009413BC" w:rsidP="00B40F46">
            <w:pPr>
              <w:spacing w:after="0" w:line="240" w:lineRule="auto"/>
              <w:jc w:val="both"/>
              <w:rPr>
                <w:rFonts w:eastAsia="Times New Roman" w:cs="Times New Roman"/>
                <w:sz w:val="18"/>
                <w:szCs w:val="18"/>
                <w:lang w:eastAsia="es-MX"/>
              </w:rPr>
            </w:pPr>
          </w:p>
        </w:tc>
        <w:tc>
          <w:tcPr>
            <w:tcW w:w="1268" w:type="dxa"/>
            <w:tcBorders>
              <w:top w:val="single" w:sz="4" w:space="0" w:color="auto"/>
              <w:left w:val="single" w:sz="4" w:space="0" w:color="auto"/>
              <w:bottom w:val="single" w:sz="4" w:space="0" w:color="auto"/>
              <w:right w:val="single" w:sz="4" w:space="0" w:color="auto"/>
            </w:tcBorders>
            <w:vAlign w:val="center"/>
          </w:tcPr>
          <w:p w:rsidR="009413BC" w:rsidRPr="00C901BE" w:rsidRDefault="00C901BE" w:rsidP="00C901BE">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C901BE" w:rsidRPr="00C901BE" w:rsidTr="00A67581">
        <w:trPr>
          <w:trHeight w:val="2007"/>
        </w:trPr>
        <w:tc>
          <w:tcPr>
            <w:tcW w:w="1338" w:type="dxa"/>
            <w:vMerge/>
            <w:tcBorders>
              <w:left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II </w:t>
            </w:r>
            <w:r w:rsidRPr="00C901BE">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901BE" w:rsidRPr="00C901BE" w:rsidRDefault="00C901BE" w:rsidP="00B40F46">
            <w:pPr>
              <w:spacing w:after="0" w:line="240" w:lineRule="auto"/>
              <w:jc w:val="both"/>
              <w:rPr>
                <w:rFonts w:eastAsia="Times New Roman" w:cs="Times New Roman"/>
                <w:i/>
                <w:iCs/>
                <w:sz w:val="18"/>
                <w:szCs w:val="18"/>
                <w:lang w:eastAsia="es-MX"/>
              </w:rPr>
            </w:pP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506"/>
        </w:trPr>
        <w:tc>
          <w:tcPr>
            <w:tcW w:w="1338" w:type="dxa"/>
            <w:vMerge/>
            <w:tcBorders>
              <w:left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III </w:t>
            </w:r>
            <w:r w:rsidRPr="00C901BE">
              <w:rPr>
                <w:rFonts w:eastAsia="Times New Roman" w:cs="Times New Roman"/>
                <w:i/>
                <w:iCs/>
                <w:sz w:val="18"/>
                <w:szCs w:val="18"/>
                <w:lang w:eastAsia="es-MX"/>
              </w:rPr>
              <w:t>Las facultades de cada Área;</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Dirección Administrativa</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Es aplicable en términos de lo dispuesto en los Lineamientos Técnicos Generales para la publicación, homologación y estandarización de la información, además la información correspondiente a esta fracción la proporcionara la Unidad de Transparencia de la Consejería Jurídica por acuerdo delegatorio del Señor Gobernador del Estado de Oaxaca.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752"/>
        </w:trPr>
        <w:tc>
          <w:tcPr>
            <w:tcW w:w="1338" w:type="dxa"/>
            <w:vMerge/>
            <w:tcBorders>
              <w:left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IV </w:t>
            </w:r>
            <w:r w:rsidRPr="00C901BE">
              <w:rPr>
                <w:rFonts w:eastAsia="Times New Roman" w:cs="Times New Roman"/>
                <w:i/>
                <w:iCs/>
                <w:sz w:val="18"/>
                <w:szCs w:val="18"/>
                <w:lang w:eastAsia="es-MX"/>
              </w:rPr>
              <w:t>Las metas y objetivos de las Áreas de conformidad con sus programas operativos;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Control Presupuestal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Es aplicable en términos de lo dispuesto en los Lineamientos Técnicos Generales para la publicación, homologación y estandarización de la información, además la información correspondiente a esta fracción la proporcionara la Unidad de Transparencia de la </w:t>
            </w:r>
            <w:r w:rsidRPr="00C901BE">
              <w:rPr>
                <w:rFonts w:eastAsia="Times New Roman" w:cs="Times New Roman"/>
                <w:sz w:val="18"/>
                <w:szCs w:val="18"/>
                <w:lang w:eastAsia="es-MX"/>
              </w:rPr>
              <w:lastRenderedPageBreak/>
              <w:t>Consejería Jurídica por acuerdo delegatorio del Señor Gobernador del Estado de Oaxaca.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225"/>
        </w:trPr>
        <w:tc>
          <w:tcPr>
            <w:tcW w:w="1338" w:type="dxa"/>
            <w:vMerge/>
            <w:tcBorders>
              <w:left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Fracción V</w:t>
            </w:r>
            <w:r w:rsidRPr="00C901BE">
              <w:rPr>
                <w:rFonts w:eastAsia="Times New Roman" w:cs="Times New Roman"/>
                <w:i/>
                <w:iCs/>
                <w:sz w:val="18"/>
                <w:szCs w:val="18"/>
                <w:lang w:eastAsia="es-MX"/>
              </w:rPr>
              <w:br w:type="page"/>
            </w:r>
            <w:r w:rsidRPr="00C901BE">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de Transparencia</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en términos de lo dispuesto en los Lineamientos Técnicos Generales para la publicación, homologación y estandarización de la información, además la información correspondiente a esta fracción la proporcionara la Unidad de Transparencia de la Consejería Jurídica por acuerdo delegatorio del Señor Gobernador del Estado de Oaxaca.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696"/>
        </w:trPr>
        <w:tc>
          <w:tcPr>
            <w:tcW w:w="1338" w:type="dxa"/>
            <w:vMerge/>
            <w:tcBorders>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VI </w:t>
            </w:r>
            <w:r w:rsidRPr="00C901BE">
              <w:rPr>
                <w:rFonts w:eastAsia="Times New Roman" w:cs="Times New Roman"/>
                <w:i/>
                <w:iCs/>
                <w:sz w:val="18"/>
                <w:szCs w:val="18"/>
                <w:lang w:eastAsia="es-MX"/>
              </w:rPr>
              <w:t>Los indicadores que permitan rendir cuenta de sus objetivos y resultados;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Control Presupuestal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en términos de lo dispuesto en los Lineamientos Técnicos Generales para la publicación, homologación y estandarización de la información, además la información correspondiente a esta fracción la proporcionara la Unidad de Transparencia de la Consejería Jurídica por acuerdo delegatorio del Señor Gobernador del Estado de Oaxaca.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559"/>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VII </w:t>
            </w:r>
            <w:r w:rsidRPr="00C901BE">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en términos de lo dispuesto en los Lineamientos Técnicos Generales para la publicación, homologación y estandarización de la información, además la información correspondiente a esta fracción la proporcionara la Unidad de Transparencia de la Consejería Jurídica por acuerdo delegatorio del Señor Gobernador del Estado de Oaxaca.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242"/>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VIII </w:t>
            </w:r>
            <w:r w:rsidRPr="00C901BE">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En la Remuneración mensual bruta se consideró los siguiente: para el mes de mayo:</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Base: Sueldo, prestaciones Sociales, Múltiples, despensa, actividades culturales y deportivas, primer bono Semestral*, Aguinaldo*, prima Vacacional*, quinquenio (de acuerdo a la antigüedad del empleado) y compensación.</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MMYS: Sueldo, prestaciones Sociales Múltiples, primer bono Semestral*, Compensación Fija Garantizada, Aguinaldo*, Prima </w:t>
            </w:r>
            <w:r w:rsidRPr="00C901BE">
              <w:rPr>
                <w:rFonts w:eastAsia="Times New Roman" w:cs="Times New Roman"/>
                <w:sz w:val="18"/>
                <w:szCs w:val="18"/>
                <w:lang w:eastAsia="es-MX"/>
              </w:rPr>
              <w:lastRenderedPageBreak/>
              <w:t>Vacacional* y quinquenios (de acuerdo a la antigüedad del empleado).</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Nombramiento confianza: sueldo, canasta básica prestación social, Múltiple, primer bono semestral*, Estimulo, </w:t>
            </w:r>
            <w:proofErr w:type="spellStart"/>
            <w:r w:rsidRPr="00C901BE">
              <w:rPr>
                <w:rFonts w:eastAsia="Times New Roman" w:cs="Times New Roman"/>
                <w:sz w:val="18"/>
                <w:szCs w:val="18"/>
                <w:lang w:eastAsia="es-MX"/>
              </w:rPr>
              <w:t>ASguinaldo</w:t>
            </w:r>
            <w:proofErr w:type="spellEnd"/>
            <w:r w:rsidRPr="00C901BE">
              <w:rPr>
                <w:rFonts w:eastAsia="Times New Roman" w:cs="Times New Roman"/>
                <w:sz w:val="18"/>
                <w:szCs w:val="18"/>
                <w:lang w:eastAsia="es-MX"/>
              </w:rPr>
              <w:t>*, Prima Vacacional*, Subsidio para el empleo (en niveles de Auxiliar 01) y Quinquenios de acuerdo a la antigüedad del empleado).</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Contrato Confianza: Contrato, canasta Básica prestación social múltiple, primer bono Semestral*, Estimulo Aguinaldo*, Prima Vacacional.</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 para los meses de Mayo y Diciembre de cada año)</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La Remuneración mensual neta, se consideró el sueldo bruto menos las siguientes deducciones:</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Base: ISSS Impuesto sobre los sueldos y salarios, fondo de pensiones cuota IMSS y cuota Sindical.</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MMYS: ISSS Impuestos sobre sueldos y salarios, fondo de </w:t>
            </w:r>
            <w:r w:rsidRPr="00C901BE">
              <w:rPr>
                <w:rFonts w:eastAsia="Times New Roman" w:cs="Times New Roman"/>
                <w:sz w:val="18"/>
                <w:szCs w:val="18"/>
                <w:lang w:eastAsia="es-MX"/>
              </w:rPr>
              <w:lastRenderedPageBreak/>
              <w:t xml:space="preserve">Pensiones Cuota IMSS y seguro </w:t>
            </w:r>
            <w:proofErr w:type="spellStart"/>
            <w:r w:rsidRPr="00C901BE">
              <w:rPr>
                <w:rFonts w:eastAsia="Times New Roman" w:cs="Times New Roman"/>
                <w:sz w:val="18"/>
                <w:szCs w:val="18"/>
                <w:lang w:eastAsia="es-MX"/>
              </w:rPr>
              <w:t>e</w:t>
            </w:r>
            <w:proofErr w:type="spellEnd"/>
            <w:r w:rsidRPr="00C901BE">
              <w:rPr>
                <w:rFonts w:eastAsia="Times New Roman" w:cs="Times New Roman"/>
                <w:sz w:val="18"/>
                <w:szCs w:val="18"/>
                <w:lang w:eastAsia="es-MX"/>
              </w:rPr>
              <w:t xml:space="preserve"> vida.</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Nombramiento Confianza: ISSS Impuestos sobres sueldos y Salarios, Fondo de Pensiones, cuota IMSS.</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Contrato Confianza: ISSS Impuestos sobres sueldos y salarios, cuota IMSS.</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641"/>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IX </w:t>
            </w:r>
            <w:r w:rsidRPr="00C901BE">
              <w:rPr>
                <w:rFonts w:eastAsia="Times New Roman" w:cs="Times New Roman"/>
                <w:i/>
                <w:iCs/>
                <w:sz w:val="18"/>
                <w:szCs w:val="18"/>
                <w:lang w:eastAsia="es-MX"/>
              </w:rPr>
              <w:t>Los gastos de representación y viáticos, así como el objeto e informe de comisión correspondiente;</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 a este Sujeto obligado el rubro de gastos de representación, en virtud de que el VIATICO para los servidores públicos del Poder Ejecutivo DEL Estado de Oaxaca, incluye hospedaje, transporte local, estacionamiento, alimentación, costo de llamadas telefónicas oficiales.</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Lo anterior en términos del artículo 81 del Reglamento de la Ley Estatal de Presupuesto y Responsabilidad Hacendaria.</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En razón de lo </w:t>
            </w:r>
            <w:proofErr w:type="gramStart"/>
            <w:r w:rsidRPr="00C901BE">
              <w:rPr>
                <w:rFonts w:eastAsia="Times New Roman" w:cs="Times New Roman"/>
                <w:sz w:val="18"/>
                <w:szCs w:val="18"/>
                <w:lang w:eastAsia="es-MX"/>
              </w:rPr>
              <w:t>anterior ,</w:t>
            </w:r>
            <w:proofErr w:type="gramEnd"/>
            <w:r w:rsidRPr="00C901BE">
              <w:rPr>
                <w:rFonts w:eastAsia="Times New Roman" w:cs="Times New Roman"/>
                <w:sz w:val="18"/>
                <w:szCs w:val="18"/>
                <w:lang w:eastAsia="es-MX"/>
              </w:rPr>
              <w:t xml:space="preserve"> no aplica  pasajes aéreos/ pasajes terrestres/ pasajes marítimos, lacustres y fluviales/ autotransportes e hipervínculo a las facturas que soporten las erogaciones </w:t>
            </w:r>
            <w:r w:rsidRPr="00C901BE">
              <w:rPr>
                <w:rFonts w:eastAsia="Times New Roman" w:cs="Times New Roman"/>
                <w:sz w:val="18"/>
                <w:szCs w:val="18"/>
                <w:lang w:eastAsia="es-MX"/>
              </w:rPr>
              <w:lastRenderedPageBreak/>
              <w:t>realizadas por estos conceptos.</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101"/>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type="page"/>
            </w:r>
            <w:r w:rsidRPr="00C901BE">
              <w:rPr>
                <w:rFonts w:eastAsia="Times New Roman" w:cs="Times New Roman"/>
                <w:i/>
                <w:iCs/>
                <w:sz w:val="18"/>
                <w:szCs w:val="18"/>
                <w:lang w:eastAsia="es-MX"/>
              </w:rPr>
              <w:br w:type="page"/>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Fracción X</w:t>
            </w:r>
            <w:r w:rsidRPr="00C901BE">
              <w:rPr>
                <w:rFonts w:eastAsia="Times New Roman" w:cs="Times New Roman"/>
                <w:i/>
                <w:iCs/>
                <w:sz w:val="18"/>
                <w:szCs w:val="18"/>
                <w:lang w:eastAsia="es-MX"/>
              </w:rPr>
              <w:br w:type="page"/>
            </w:r>
            <w:r w:rsidRPr="00C901BE">
              <w:rPr>
                <w:rFonts w:eastAsia="Times New Roman" w:cs="Times New Roman"/>
                <w:i/>
                <w:iCs/>
                <w:sz w:val="18"/>
                <w:szCs w:val="18"/>
                <w:lang w:eastAsia="es-MX"/>
              </w:rPr>
              <w:br w:type="page"/>
              <w:t xml:space="preserve"> El número total de las plazas y del personal de base y confianza, especificando el total de las vacantes, por nivel de puesto, para cada unidad administrativa;</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en términos de lo dispuesto en los Lineamientos Técnicos Generales para la publicación, homologación y estandarización de la información, además la información correspondiente a esta fracción la proporcionara la Unidad de Transparencia de la Consejería Jurídica por acuerdo delegatorio del Señor Gobernador del Estado de Oaxaca.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384"/>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XI </w:t>
            </w:r>
            <w:r w:rsidRPr="00C901BE">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La Gubernatura no tiene contratado personal por honorarios ni asignación presupuestal para ello.</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32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XII </w:t>
            </w:r>
            <w:r w:rsidRPr="00C901BE">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 y Secretaria de la Contraloría y Transparencia Gubernamental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se tiene el consentimiento de los servidores públicos para hacer pública su declaración patrimonial, sin embargo la versión pública de las declaraciones patrimoniales las podrá consultar en la página electrónica www.contraloria.oaxaca.gob.mx.</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976"/>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XIII </w:t>
            </w:r>
            <w:r w:rsidRPr="00C901BE">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Unidad de Transparencia de la Consejería </w:t>
            </w:r>
            <w:r w:rsidR="00566F76">
              <w:rPr>
                <w:rFonts w:eastAsia="Times New Roman" w:cs="Times New Roman"/>
                <w:sz w:val="18"/>
                <w:szCs w:val="18"/>
                <w:lang w:eastAsia="es-MX"/>
              </w:rPr>
              <w:t>Jurídica</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696"/>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XIV </w:t>
            </w:r>
            <w:r w:rsidRPr="00C901BE">
              <w:rPr>
                <w:rFonts w:eastAsia="Times New Roman" w:cs="Times New Roman"/>
                <w:i/>
                <w:iCs/>
                <w:sz w:val="18"/>
                <w:szCs w:val="18"/>
                <w:lang w:eastAsia="es-MX"/>
              </w:rPr>
              <w:t>Las convocatorias a concursos para ocupar cargos públicos y los resultados de los mismos;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 Secretaria de Administración</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Las convocatorias a concursos para ocupar  cargos públicos y los resultados de los mismos en virtud de que no se tiene normatividad aplicable. Así mismo quien contrata es la Secretaría de  Administración lo anterior en términos del artículo 46 de la Ley Orgánica del Poder Ejecutivo del Estado de Oaxaca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534"/>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type="page"/>
            </w:r>
            <w:r w:rsidRPr="00C901BE">
              <w:rPr>
                <w:rFonts w:eastAsia="Times New Roman" w:cs="Times New Roman"/>
                <w:i/>
                <w:iCs/>
                <w:sz w:val="18"/>
                <w:szCs w:val="18"/>
                <w:lang w:eastAsia="es-MX"/>
              </w:rPr>
              <w:br w:type="page"/>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Fracción XV</w:t>
            </w:r>
            <w:r w:rsidRPr="00C901BE">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C901BE">
              <w:rPr>
                <w:rFonts w:eastAsia="Times New Roman" w:cs="Times New Roman"/>
                <w:i/>
                <w:iCs/>
                <w:sz w:val="18"/>
                <w:szCs w:val="18"/>
                <w:lang w:eastAsia="es-MX"/>
              </w:rPr>
              <w:br w:type="page"/>
              <w:t>...</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Por la naturaleza de las funciones que realiza este Sujeto obligado NO APLICA programas de subsidios, estímulos y apoyos, programas de transferencia, de servicio, de infraestructura social y de subsidio.</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824"/>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XVI </w:t>
            </w:r>
            <w:r w:rsidRPr="00C901BE">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Recursos Humanos </w:t>
            </w:r>
            <w:r w:rsidR="00C901BE" w:rsidRPr="00C901BE">
              <w:rPr>
                <w:rFonts w:eastAsia="Times New Roman" w:cs="Times New Roman"/>
                <w:sz w:val="18"/>
                <w:szCs w:val="18"/>
                <w:lang w:eastAsia="es-MX"/>
              </w:rPr>
              <w:t>Secretaría de Administración.</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El llenado de dicho formato le corresponde a la Secretaría de Administración por su competencia en términos del artículo 46 de la Ley Orgánica del Poder Ejecutivo del Estado de Oaxaca, se re direccionara al hipervínculo </w:t>
            </w:r>
            <w:r w:rsidRPr="00C901BE">
              <w:rPr>
                <w:rFonts w:eastAsia="Times New Roman" w:cs="Times New Roman"/>
                <w:sz w:val="18"/>
                <w:szCs w:val="18"/>
                <w:lang w:eastAsia="es-MX"/>
              </w:rPr>
              <w:lastRenderedPageBreak/>
              <w:t>correspondiente.</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386"/>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type="page"/>
            </w:r>
            <w:r w:rsidRPr="00C901BE">
              <w:rPr>
                <w:rFonts w:eastAsia="Times New Roman" w:cs="Times New Roman"/>
                <w:i/>
                <w:iCs/>
                <w:sz w:val="18"/>
                <w:szCs w:val="18"/>
                <w:lang w:eastAsia="es-MX"/>
              </w:rPr>
              <w:br w:type="page"/>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Fracción XVII</w:t>
            </w:r>
            <w:r w:rsidRPr="00C901BE">
              <w:rPr>
                <w:rFonts w:eastAsia="Times New Roman" w:cs="Times New Roman"/>
                <w:i/>
                <w:iCs/>
                <w:sz w:val="18"/>
                <w:szCs w:val="18"/>
                <w:lang w:eastAsia="es-MX"/>
              </w:rPr>
              <w:br w:type="page"/>
            </w:r>
            <w:r w:rsidRPr="00C901BE">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Recursos Humanos </w:t>
            </w:r>
            <w:r w:rsidR="00C901BE" w:rsidRPr="00C901BE">
              <w:rPr>
                <w:rFonts w:eastAsia="Times New Roman" w:cs="Times New Roman"/>
                <w:sz w:val="18"/>
                <w:szCs w:val="18"/>
                <w:lang w:eastAsia="es-MX"/>
              </w:rPr>
              <w:t>Secretaría de Administración.</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Este Sujeto Obligado se coordinara con las Secretarias de Administración y Contraloría y Transparencia Gubernamental en términos de los artículos 46 y 47 de la Ley Orgánica del Poder Ejecutivo del Estado de Oaxaca por ser su competencia el tema de sanciones administrativas.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970"/>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XVIII </w:t>
            </w:r>
            <w:r w:rsidRPr="00C901BE">
              <w:rPr>
                <w:rFonts w:eastAsia="Times New Roman" w:cs="Times New Roman"/>
                <w:i/>
                <w:iCs/>
                <w:sz w:val="18"/>
                <w:szCs w:val="18"/>
                <w:lang w:eastAsia="es-MX"/>
              </w:rPr>
              <w:t>El listado de Servidores Públicos con sanciones administrativas definitivas, especificando la causa de sanción y la disposición;</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Recursos Humanos </w:t>
            </w:r>
            <w:r w:rsidR="00C901BE" w:rsidRPr="00C901BE">
              <w:rPr>
                <w:rFonts w:eastAsia="Times New Roman" w:cs="Times New Roman"/>
                <w:sz w:val="18"/>
                <w:szCs w:val="18"/>
                <w:lang w:eastAsia="es-MX"/>
              </w:rPr>
              <w:t>Secretaría de la Contraloría y Transparencia Gubernamental.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Este Sujeto obligado redicionará al hipervínculo del Sistema de Sanciones  de la Secretaría de la Contralaría y Transparencia Gubernamental misma que podrá ser consultada en la página electrónica  www.contraloria.oaxaca.gob.mx</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81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XIX </w:t>
            </w:r>
            <w:r w:rsidRPr="00C901BE">
              <w:rPr>
                <w:rFonts w:eastAsia="Times New Roman" w:cs="Times New Roman"/>
                <w:i/>
                <w:iCs/>
                <w:sz w:val="18"/>
                <w:szCs w:val="18"/>
                <w:lang w:eastAsia="es-MX"/>
              </w:rPr>
              <w:t>Los servicios que ofrecen señalando los requisitos para acceder a ellos;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Unidad de Transparencia de la Consejería </w:t>
            </w:r>
            <w:proofErr w:type="spellStart"/>
            <w:r>
              <w:rPr>
                <w:rFonts w:eastAsia="Times New Roman" w:cs="Times New Roman"/>
                <w:sz w:val="18"/>
                <w:szCs w:val="18"/>
                <w:lang w:eastAsia="es-MX"/>
              </w:rPr>
              <w:t>Juridica</w:t>
            </w:r>
            <w:proofErr w:type="spellEnd"/>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Aplica en términos de lo establecido por los Lineamientos Técnicos Generales para la Publicación, homologación y estandarización de la Información, dicha </w:t>
            </w:r>
            <w:r w:rsidRPr="00C901BE">
              <w:rPr>
                <w:rFonts w:eastAsia="Times New Roman" w:cs="Times New Roman"/>
                <w:sz w:val="18"/>
                <w:szCs w:val="18"/>
                <w:lang w:eastAsia="es-MX"/>
              </w:rPr>
              <w:lastRenderedPageBreak/>
              <w:t xml:space="preserve">información estará disponible en la Unidad de transparencia de la Consejería Jurídica conforme al acuerdo delegatorio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664"/>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 </w:t>
            </w:r>
            <w:r w:rsidRPr="00C901BE">
              <w:rPr>
                <w:rFonts w:eastAsia="Times New Roman" w:cs="Times New Roman"/>
                <w:i/>
                <w:iCs/>
                <w:sz w:val="18"/>
                <w:szCs w:val="18"/>
                <w:lang w:eastAsia="es-MX"/>
              </w:rPr>
              <w:t>Los trámites, requisitos y formatos que ofrecen;</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Unidad de Transparencia de la Consejería Jurídica</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Aplica en términos de lo establecido por los Lineamientos Técnicos Generales para la Publicación, homologación y estandarización de la Información, dicha información estará disponible en la Unidad de transparencia de la Consejería Jurídica conforme al acuerdo delegatorio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531"/>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XXI </w:t>
            </w:r>
            <w:r w:rsidRPr="00C901BE">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Control Presupuestal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a este Sujeto Obligado sin embargo la información la proporcionará la Consejería Jurídica por acuerdo delegatorio del señor gobernador.</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919"/>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XXII </w:t>
            </w:r>
            <w:r w:rsidRPr="00C901BE">
              <w:rPr>
                <w:rFonts w:eastAsia="Times New Roman" w:cs="Times New Roman"/>
                <w:i/>
                <w:iCs/>
                <w:sz w:val="18"/>
                <w:szCs w:val="18"/>
                <w:lang w:eastAsia="es-MX"/>
              </w:rPr>
              <w:t>La información relativa a la deuda pública, en términos de la normatividad aplicable;</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La información relativa a la deuda pública es competencia de la Secretaría de Finanzas</w:t>
            </w: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Artículo 45, Ley Orgánica del Poder Ejecutivo del estado de Oaxaca</w:t>
            </w: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Secretaría de Finanzas.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278"/>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XXIII </w:t>
            </w:r>
            <w:r w:rsidRPr="00C901BE">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Control Presupuestal, Comunicación Social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El sujeto Obligado Gubernatura no tiene autorizada partida presupuestal para gastos relativos a comunicación social y publicidad oficial desglosada por el tipo de medio, </w:t>
            </w:r>
            <w:r w:rsidRPr="00C901BE">
              <w:rPr>
                <w:rFonts w:eastAsia="Times New Roman" w:cs="Times New Roman"/>
                <w:sz w:val="18"/>
                <w:szCs w:val="18"/>
                <w:lang w:eastAsia="es-MX"/>
              </w:rPr>
              <w:lastRenderedPageBreak/>
              <w:t xml:space="preserve">proveedores, numero de contrato y concepto o campaña, sin embargo esta información podrá ser consultada en la página electrónica www.oaxaca.gob.mx/tag/comunicacion-social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22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XXIV </w:t>
            </w:r>
            <w:r w:rsidRPr="00C901BE">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Dirección Administrativa, Secretaria de la Contraloría y Transparencia Gubernamental.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 en  términos de los Lineamientos Técnicos Generales para la publicación, homologación y estandarización de la información, así mismo la información se podrá consultar en la página electrónica www.contraloria.oaxaca.gob.mx</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71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XXV </w:t>
            </w:r>
            <w:r w:rsidRPr="00C901BE">
              <w:rPr>
                <w:rFonts w:eastAsia="Times New Roman" w:cs="Times New Roman"/>
                <w:i/>
                <w:iCs/>
                <w:sz w:val="18"/>
                <w:szCs w:val="18"/>
                <w:lang w:eastAsia="es-MX"/>
              </w:rPr>
              <w:t>El resultado de la dictaminación de los estados financieros;</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proofErr w:type="gramStart"/>
            <w:r>
              <w:rPr>
                <w:rFonts w:eastAsia="Times New Roman" w:cs="Times New Roman"/>
                <w:sz w:val="18"/>
                <w:szCs w:val="18"/>
                <w:lang w:eastAsia="es-MX"/>
              </w:rPr>
              <w:t>control</w:t>
            </w:r>
            <w:proofErr w:type="gramEnd"/>
            <w:r>
              <w:rPr>
                <w:rFonts w:eastAsia="Times New Roman" w:cs="Times New Roman"/>
                <w:sz w:val="18"/>
                <w:szCs w:val="18"/>
                <w:lang w:eastAsia="es-MX"/>
              </w:rPr>
              <w:t xml:space="preserve"> Presupuestal, Secretaría de Finanzas del Gobierno del Estado.</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El Sujeto obligado Gubernatura es una Dependencia de la Administración Pública Centralizada, por lo que presentara sus estados financieros validados por la Secretaría de Finanzas del Gobierno del Estado, así mismo la información podrá ser consultada en la página electrónica www.finanzasoaxaca.gob.mx/leytransparencia.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007"/>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XXVI </w:t>
            </w:r>
            <w:r w:rsidRPr="00C901BE">
              <w:rPr>
                <w:rFonts w:eastAsia="Times New Roman" w:cs="Times New Roman"/>
                <w:i/>
                <w:iCs/>
                <w:sz w:val="18"/>
                <w:szCs w:val="18"/>
                <w:lang w:eastAsia="es-MX"/>
              </w:rPr>
              <w:t xml:space="preserve">Los montos, criterios, convocatorias y listado de personas físicas o morales a quienes, por cualquier motivo, se les asigne o permita usar recursos públicos o, en los términos de las </w:t>
            </w:r>
            <w:r w:rsidRPr="00C901BE">
              <w:rPr>
                <w:rFonts w:eastAsia="Times New Roman" w:cs="Times New Roman"/>
                <w:i/>
                <w:iCs/>
                <w:sz w:val="18"/>
                <w:szCs w:val="18"/>
                <w:lang w:eastAsia="es-MX"/>
              </w:rPr>
              <w:lastRenderedPageBreak/>
              <w:t>disposiciones aplicables, realicen actos de autoridad. Asimismo, los informes que dichas personas les entreguen sobre el uso y destino de dichos recursos;</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lastRenderedPageBreak/>
              <w:t>NO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El Sujeto Obligado Gubernatura no asigna recursos públicos a ninguna persona física y moral.</w:t>
            </w: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838"/>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XXVII </w:t>
            </w:r>
            <w:r w:rsidRPr="00C901BE">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804"/>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XXVIII </w:t>
            </w:r>
            <w:r w:rsidRPr="00C901BE">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Materiales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En el rubro de adquisición de bienes No Aplica el número de contrato; Fecha de contrato  Monto Total de las Garantías y monto total de las contragarantías, plazo de entrega, hipervínculo al documento del contrato y plazo de entrega o de ejecución de los servicios u obra contratos, en virtud de ser competencia de la Secretaría  de la Administración en términos del artículo 46 de la Ley Orgánica  del Poder Ejecutivo del Estado de Oaxaca.</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No aplica hipervínculo al documento de convenio modificatorio, mecanismo de vigilancia y supervisión, </w:t>
            </w:r>
            <w:r w:rsidRPr="00C901BE">
              <w:rPr>
                <w:rFonts w:eastAsia="Times New Roman" w:cs="Times New Roman"/>
                <w:sz w:val="18"/>
                <w:szCs w:val="18"/>
                <w:lang w:eastAsia="es-MX"/>
              </w:rPr>
              <w:lastRenderedPageBreak/>
              <w:t>hipervínculo al documento de estudios de impacto urbano y ambiental, hipervínculo a los informes de avances físico de las obras  o servicios contratados, hipervínculo a los informes de avances  financieros de las obras o servicios  contratados, hipervínculo al convenio de terminación y el hipervínculo al finiquito.</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El concepto de hipervínculo a la autorización del ejercicio de la opción, es ambiguo de solicita se aclare a que se refiere.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68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XXIX </w:t>
            </w:r>
            <w:r w:rsidRPr="00C901BE">
              <w:rPr>
                <w:rFonts w:eastAsia="Times New Roman" w:cs="Times New Roman"/>
                <w:i/>
                <w:iCs/>
                <w:sz w:val="18"/>
                <w:szCs w:val="18"/>
                <w:lang w:eastAsia="es-MX"/>
              </w:rPr>
              <w:t xml:space="preserve">Los informes que por disposición legal generen los sujetos obligados; </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Dirección Administrativa</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 en términos de lo establecido en los Lineamientos Técnicos Generales para la publicación, homologación estandarización de la información</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982"/>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 </w:t>
            </w:r>
            <w:r w:rsidRPr="00C901BE">
              <w:rPr>
                <w:rFonts w:eastAsia="Times New Roman" w:cs="Times New Roman"/>
                <w:i/>
                <w:iCs/>
                <w:sz w:val="18"/>
                <w:szCs w:val="18"/>
                <w:lang w:eastAsia="es-MX"/>
              </w:rPr>
              <w:t>Las estadísticas que generen en cumplimiento de sus facultades, competencias o funciones con la mayor desagregación posible;</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1438A"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Unidad de Transparencia de la Consejería </w:t>
            </w:r>
            <w:r w:rsidR="00566F76">
              <w:rPr>
                <w:rFonts w:eastAsia="Times New Roman" w:cs="Times New Roman"/>
                <w:sz w:val="18"/>
                <w:szCs w:val="18"/>
                <w:lang w:eastAsia="es-MX"/>
              </w:rPr>
              <w:t>Jurídica</w:t>
            </w:r>
            <w:bookmarkStart w:id="1" w:name="_GoBack"/>
            <w:bookmarkEnd w:id="1"/>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Aplica en términos de lo establecido por los Lineamientos Técnicos Generales para la Publicación, homologación y estandarización de la Información, dicha información estará disponible en la Unidad de </w:t>
            </w:r>
            <w:r w:rsidRPr="00C901BE">
              <w:rPr>
                <w:rFonts w:eastAsia="Times New Roman" w:cs="Times New Roman"/>
                <w:sz w:val="18"/>
                <w:szCs w:val="18"/>
                <w:lang w:eastAsia="es-MX"/>
              </w:rPr>
              <w:lastRenderedPageBreak/>
              <w:t xml:space="preserve">transparencia de la Consejería Jurídica conforme al acuerdo delegatorio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688"/>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XXXI </w:t>
            </w:r>
            <w:r w:rsidRPr="00C901BE">
              <w:rPr>
                <w:rFonts w:eastAsia="Times New Roman" w:cs="Times New Roman"/>
                <w:i/>
                <w:iCs/>
                <w:sz w:val="18"/>
                <w:szCs w:val="18"/>
                <w:lang w:eastAsia="es-MX"/>
              </w:rPr>
              <w:t>Informe de avances programáticos o presupuestales, balances generales y su estado financiero;</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Control Presupuestal</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Aplica en términos de lo establecido por los Lineamientos Técnicos Generales para la Publicación, homologación y estandarización de la Información, dicha información estará disponible en la Unidad de transparencia de la Consejería Jurídica conforme al acuerdo delegatorio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55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XXXII </w:t>
            </w:r>
            <w:r w:rsidRPr="00C901BE">
              <w:rPr>
                <w:rFonts w:eastAsia="Times New Roman" w:cs="Times New Roman"/>
                <w:i/>
                <w:iCs/>
                <w:sz w:val="18"/>
                <w:szCs w:val="18"/>
                <w:lang w:eastAsia="es-MX"/>
              </w:rPr>
              <w:t>Padrón de proveedores y contratistas;</w:t>
            </w:r>
          </w:p>
        </w:tc>
        <w:tc>
          <w:tcPr>
            <w:tcW w:w="1448" w:type="dxa"/>
            <w:tcBorders>
              <w:top w:val="nil"/>
              <w:left w:val="nil"/>
              <w:bottom w:val="single" w:sz="4" w:space="0" w:color="auto"/>
              <w:right w:val="single" w:sz="4" w:space="0" w:color="auto"/>
            </w:tcBorders>
            <w:shd w:val="clear" w:color="auto" w:fill="auto"/>
            <w:noWrap/>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Recursos Materiales </w:t>
            </w:r>
            <w:r w:rsidR="00C901BE" w:rsidRPr="00C901BE">
              <w:rPr>
                <w:rFonts w:eastAsia="Times New Roman" w:cs="Times New Roman"/>
                <w:sz w:val="18"/>
                <w:szCs w:val="18"/>
                <w:lang w:eastAsia="es-MX"/>
              </w:rPr>
              <w:t>Secretaria de Administración.</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Es aplicable la fracción en términos de los Lineamientos Técnicos Generales para la publicación, homologación y estandarización de la información además la información podrá ser consultada en la página electrónica www.administracion.oaxaca.gob.mx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706"/>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XXXIII </w:t>
            </w:r>
            <w:r w:rsidRPr="00C901BE">
              <w:rPr>
                <w:rFonts w:eastAsia="Times New Roman" w:cs="Times New Roman"/>
                <w:i/>
                <w:iCs/>
                <w:sz w:val="18"/>
                <w:szCs w:val="18"/>
                <w:lang w:eastAsia="es-MX"/>
              </w:rPr>
              <w:t>Los convenios de coordinación de concertación con los sectores social y privado;</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la fracción en términos de los Lineamientos Técnicos Generales para la publicación, homologación y estandarización de la información</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787"/>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XXXIV </w:t>
            </w:r>
            <w:r w:rsidRPr="00C901BE">
              <w:rPr>
                <w:rFonts w:eastAsia="Times New Roman" w:cs="Times New Roman"/>
                <w:i/>
                <w:iCs/>
                <w:sz w:val="18"/>
                <w:szCs w:val="18"/>
                <w:lang w:eastAsia="es-MX"/>
              </w:rPr>
              <w:t>El inventario de bienes muebles e inmuebles en posesión y propiedad;</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Recursos Materiales Control </w:t>
            </w:r>
            <w:r>
              <w:rPr>
                <w:rFonts w:eastAsia="Times New Roman" w:cs="Times New Roman"/>
                <w:sz w:val="18"/>
                <w:szCs w:val="18"/>
                <w:lang w:eastAsia="es-MX"/>
              </w:rPr>
              <w:lastRenderedPageBreak/>
              <w:t>vehicular</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lastRenderedPageBreak/>
              <w:t xml:space="preserve">Es aplicable la fracción en términos de los Lineamientos Técnicos </w:t>
            </w:r>
            <w:r w:rsidRPr="00C901BE">
              <w:rPr>
                <w:rFonts w:eastAsia="Times New Roman" w:cs="Times New Roman"/>
                <w:sz w:val="18"/>
                <w:szCs w:val="18"/>
                <w:lang w:eastAsia="es-MX"/>
              </w:rPr>
              <w:lastRenderedPageBreak/>
              <w:t>Generales para la publicación, homologación y estandarización de la información</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32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XXXV </w:t>
            </w:r>
            <w:r w:rsidRPr="00C901BE">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la fracción en términos de los Lineamientos Técnicos Generales para la publicación, homologación y estandarización de la información, sin embargo hasta la fecha no se han tenido recomendaciones de los Órganos garantes de los Derechos Humanos.</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319"/>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XXXVI </w:t>
            </w:r>
            <w:r w:rsidRPr="00C901BE">
              <w:rPr>
                <w:rFonts w:eastAsia="Times New Roman" w:cs="Times New Roman"/>
                <w:i/>
                <w:iCs/>
                <w:sz w:val="18"/>
                <w:szCs w:val="18"/>
                <w:lang w:eastAsia="es-MX"/>
              </w:rPr>
              <w:t>Las resoluciones y laudos que se emitan en procesos o procedimientos seguidos en forma de juicio;</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A67581">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656AEC"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Recursos Humanos</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65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XXXVII </w:t>
            </w:r>
            <w:r w:rsidRPr="00C901BE">
              <w:rPr>
                <w:rFonts w:eastAsia="Times New Roman" w:cs="Times New Roman"/>
                <w:i/>
                <w:iCs/>
                <w:sz w:val="18"/>
                <w:szCs w:val="18"/>
                <w:lang w:eastAsia="es-MX"/>
              </w:rPr>
              <w:t>Los mecanismos de participación ciudadana;</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Consejería Jurídica</w:t>
            </w:r>
          </w:p>
        </w:tc>
        <w:tc>
          <w:tcPr>
            <w:tcW w:w="1832" w:type="dxa"/>
            <w:tcBorders>
              <w:top w:val="nil"/>
              <w:left w:val="single" w:sz="4" w:space="0" w:color="auto"/>
              <w:bottom w:val="single" w:sz="4" w:space="0" w:color="auto"/>
              <w:right w:val="single" w:sz="4" w:space="0" w:color="auto"/>
            </w:tcBorders>
          </w:tcPr>
          <w:p w:rsidR="00C901BE" w:rsidRPr="00C901BE" w:rsidRDefault="00C901BE" w:rsidP="00566F7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Es aplicable la fracción a este Sujeto Obligado sin embargo no se ha generado ese tipo de información.</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22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XXXVIII </w:t>
            </w:r>
            <w:r w:rsidRPr="00C901BE">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 a este Sujeto Obligado los programas que ofrecen, incluyendo información  sobre la población objetivo y destino, así  como los tramites tiempos de respuesta, requisitos y formatos para acceder a los mismos.</w:t>
            </w:r>
          </w:p>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No aplican los trámites, ya que la Gubernatura no da atención al público por ser un área (staff) de </w:t>
            </w:r>
            <w:r w:rsidRPr="00C901BE">
              <w:rPr>
                <w:rFonts w:eastAsia="Times New Roman" w:cs="Times New Roman"/>
                <w:sz w:val="18"/>
                <w:szCs w:val="18"/>
                <w:lang w:eastAsia="es-MX"/>
              </w:rPr>
              <w:lastRenderedPageBreak/>
              <w:t>apoyo al titular del Poder Ejecutivo.</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721"/>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XXXIX </w:t>
            </w:r>
            <w:r w:rsidRPr="00C901BE">
              <w:rPr>
                <w:rFonts w:eastAsia="Times New Roman" w:cs="Times New Roman"/>
                <w:i/>
                <w:iCs/>
                <w:sz w:val="18"/>
                <w:szCs w:val="18"/>
                <w:lang w:eastAsia="es-MX"/>
              </w:rPr>
              <w:t>Las actas y resoluciones del Comité de Transparencia de los sujetos obligados;</w:t>
            </w:r>
          </w:p>
        </w:tc>
        <w:tc>
          <w:tcPr>
            <w:tcW w:w="1448" w:type="dxa"/>
            <w:tcBorders>
              <w:top w:val="nil"/>
              <w:left w:val="nil"/>
              <w:bottom w:val="nil"/>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nil"/>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Unidad de Transparencia de la </w:t>
            </w:r>
            <w:r w:rsidR="00C901BE" w:rsidRPr="00C901BE">
              <w:rPr>
                <w:rFonts w:eastAsia="Times New Roman" w:cs="Times New Roman"/>
                <w:sz w:val="18"/>
                <w:szCs w:val="18"/>
                <w:lang w:eastAsia="es-MX"/>
              </w:rPr>
              <w:t>Consejería Jurídica</w:t>
            </w: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Aplica en términos de lo establecido por los Lineamientos Técnicos Generales para la Publicación, homologación y estandarización de la Información, dicha información estará disponible en la Unidad de transparencia de la Consejería Jurídica conforme al acuerdo delegatorio  </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970"/>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 </w:t>
            </w:r>
            <w:r w:rsidRPr="00C901BE">
              <w:rPr>
                <w:rFonts w:eastAsia="Times New Roman" w:cs="Times New Roman"/>
                <w:i/>
                <w:iCs/>
                <w:sz w:val="18"/>
                <w:szCs w:val="18"/>
                <w:lang w:eastAsia="es-MX"/>
              </w:rPr>
              <w:t>Todas las evaluaciones y encuestas que hagan los sujetos obligados a programas financiados con recursos públicos;</w:t>
            </w:r>
          </w:p>
        </w:tc>
        <w:tc>
          <w:tcPr>
            <w:tcW w:w="1448"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 a este Sujeto obligado Gubernatura, en virtud de que no se realizan evaluaciones o encuentas a programas financiados con recursos públicos, no se paga estudio alguno con fondos públicos, así mismo, no se operan programas con recursos públicos.</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408"/>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XLI </w:t>
            </w:r>
            <w:r w:rsidRPr="00C901BE">
              <w:rPr>
                <w:rFonts w:eastAsia="Times New Roman" w:cs="Times New Roman"/>
                <w:i/>
                <w:iCs/>
                <w:sz w:val="18"/>
                <w:szCs w:val="18"/>
                <w:lang w:eastAsia="es-MX"/>
              </w:rPr>
              <w:t>Los estudios financiados con recursos públicos;</w:t>
            </w:r>
          </w:p>
        </w:tc>
        <w:tc>
          <w:tcPr>
            <w:tcW w:w="1448"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El Sujeto Obligado Gubernatura no financia estudios, investigaciones o análisis.</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460"/>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single" w:sz="4" w:space="0" w:color="auto"/>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XLII </w:t>
            </w:r>
            <w:r w:rsidRPr="00C901BE">
              <w:rPr>
                <w:rFonts w:eastAsia="Times New Roman" w:cs="Times New Roman"/>
                <w:i/>
                <w:iCs/>
                <w:sz w:val="18"/>
                <w:szCs w:val="18"/>
                <w:lang w:eastAsia="es-MX"/>
              </w:rPr>
              <w:t>El listado de jubilados y pensionados y el monto que reciben;</w:t>
            </w:r>
          </w:p>
        </w:tc>
        <w:tc>
          <w:tcPr>
            <w:tcW w:w="1448"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Recursos Humanos, Oficina de Pensiones del Gobierno del </w:t>
            </w:r>
            <w:r>
              <w:rPr>
                <w:rFonts w:eastAsia="Times New Roman" w:cs="Times New Roman"/>
                <w:sz w:val="18"/>
                <w:szCs w:val="18"/>
                <w:lang w:eastAsia="es-MX"/>
              </w:rPr>
              <w:lastRenderedPageBreak/>
              <w:t>Estado.</w:t>
            </w:r>
          </w:p>
        </w:tc>
        <w:tc>
          <w:tcPr>
            <w:tcW w:w="1832" w:type="dxa"/>
            <w:tcBorders>
              <w:top w:val="single" w:sz="4" w:space="0" w:color="auto"/>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lastRenderedPageBreak/>
              <w:t xml:space="preserve">Es aplicable la fracción en términos de los Lineamientos Técnicos Generales para la publicación, </w:t>
            </w:r>
            <w:r w:rsidRPr="00C901BE">
              <w:rPr>
                <w:rFonts w:eastAsia="Times New Roman" w:cs="Times New Roman"/>
                <w:sz w:val="18"/>
                <w:szCs w:val="18"/>
                <w:lang w:eastAsia="es-MX"/>
              </w:rPr>
              <w:lastRenderedPageBreak/>
              <w:t xml:space="preserve">homologación y estandarización de la información, sin embargo la información podrá ser consultada en la página electrónica de la oficina de pensiones del Gobierno del Estado. </w:t>
            </w:r>
          </w:p>
        </w:tc>
        <w:tc>
          <w:tcPr>
            <w:tcW w:w="1268" w:type="dxa"/>
            <w:tcBorders>
              <w:top w:val="single" w:sz="4" w:space="0" w:color="auto"/>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22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single" w:sz="4" w:space="0" w:color="auto"/>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XLIII </w:t>
            </w:r>
            <w:r w:rsidRPr="00C901BE">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48" w:type="dxa"/>
            <w:tcBorders>
              <w:top w:val="single" w:sz="4" w:space="0" w:color="auto"/>
              <w:left w:val="nil"/>
              <w:bottom w:val="nil"/>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single" w:sz="4" w:space="0" w:color="auto"/>
              <w:left w:val="nil"/>
              <w:bottom w:val="single" w:sz="4" w:space="0" w:color="auto"/>
              <w:right w:val="single" w:sz="4" w:space="0" w:color="auto"/>
            </w:tcBorders>
            <w:shd w:val="clear" w:color="auto" w:fill="auto"/>
            <w:vAlign w:val="bottom"/>
          </w:tcPr>
          <w:p w:rsidR="00C901BE" w:rsidRPr="00C901BE" w:rsidRDefault="00C901BE" w:rsidP="00597AF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El Sujeto Obligado Gubernatura no percibe ingresos ordinarios y extraordinario  dada la naturaleza de las funciones de la Gubernatura.</w:t>
            </w:r>
          </w:p>
        </w:tc>
        <w:tc>
          <w:tcPr>
            <w:tcW w:w="1504"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single" w:sz="4" w:space="0" w:color="auto"/>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p>
        </w:tc>
        <w:tc>
          <w:tcPr>
            <w:tcW w:w="1268" w:type="dxa"/>
            <w:tcBorders>
              <w:top w:val="single" w:sz="4" w:space="0" w:color="auto"/>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426"/>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nil"/>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XLIV </w:t>
            </w:r>
            <w:r w:rsidRPr="00C901BE">
              <w:rPr>
                <w:rFonts w:eastAsia="Times New Roman" w:cs="Times New Roman"/>
                <w:i/>
                <w:iCs/>
                <w:sz w:val="18"/>
                <w:szCs w:val="18"/>
                <w:lang w:eastAsia="es-MX"/>
              </w:rPr>
              <w:t>Donaciones hechas a terceros en dinero o en especie;</w:t>
            </w:r>
          </w:p>
        </w:tc>
        <w:tc>
          <w:tcPr>
            <w:tcW w:w="1448"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 APLICA</w:t>
            </w:r>
          </w:p>
        </w:tc>
        <w:tc>
          <w:tcPr>
            <w:tcW w:w="2396"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nil"/>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nil"/>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 en términos de lo establecido en los Lineamientos Técnicos Generales para la publicación, homologación estandarización de la información en relación con lo establecido en los artículo 2 fracción XX y 76 de la Ley Estatal de Presupuesto y Responsabilidad Hacendaria</w:t>
            </w:r>
          </w:p>
        </w:tc>
        <w:tc>
          <w:tcPr>
            <w:tcW w:w="1268" w:type="dxa"/>
            <w:tcBorders>
              <w:top w:val="nil"/>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480"/>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t>…</w:t>
            </w:r>
          </w:p>
        </w:tc>
        <w:tc>
          <w:tcPr>
            <w:tcW w:w="3221" w:type="dxa"/>
            <w:tcBorders>
              <w:top w:val="single" w:sz="4" w:space="0" w:color="auto"/>
              <w:left w:val="single" w:sz="4" w:space="0" w:color="auto"/>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XLV </w:t>
            </w:r>
            <w:r w:rsidRPr="00C901BE">
              <w:rPr>
                <w:rFonts w:eastAsia="Times New Roman" w:cs="Times New Roman"/>
                <w:i/>
                <w:iCs/>
                <w:sz w:val="18"/>
                <w:szCs w:val="18"/>
                <w:lang w:eastAsia="es-MX"/>
              </w:rPr>
              <w:t>El catálogo de disposición y guía de archivo documental;</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single" w:sz="4" w:space="0" w:color="auto"/>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Dirección Administrativa</w:t>
            </w:r>
          </w:p>
        </w:tc>
        <w:tc>
          <w:tcPr>
            <w:tcW w:w="1832" w:type="dxa"/>
            <w:tcBorders>
              <w:top w:val="single" w:sz="4" w:space="0" w:color="auto"/>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 en términos de lo establecido en los Lineamientos Técnicos Generales para la publicación, homologación estandarización de la información</w:t>
            </w:r>
            <w:r w:rsidR="00566F76">
              <w:rPr>
                <w:rFonts w:eastAsia="Times New Roman" w:cs="Times New Roman"/>
                <w:sz w:val="18"/>
                <w:szCs w:val="18"/>
                <w:lang w:eastAsia="es-MX"/>
              </w:rPr>
              <w:t>.</w:t>
            </w:r>
          </w:p>
        </w:tc>
        <w:tc>
          <w:tcPr>
            <w:tcW w:w="1268" w:type="dxa"/>
            <w:tcBorders>
              <w:top w:val="single" w:sz="4" w:space="0" w:color="auto"/>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901"/>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single" w:sz="4" w:space="0" w:color="auto"/>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XLVI </w:t>
            </w:r>
            <w:r w:rsidRPr="00C901BE">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48"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single" w:sz="4" w:space="0" w:color="auto"/>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No aplica. Este Sujeto obligado por la naturaleza de funciones que realiza, no cuenta con la figura </w:t>
            </w:r>
            <w:r w:rsidRPr="00C901BE">
              <w:rPr>
                <w:rFonts w:eastAsia="Times New Roman" w:cs="Times New Roman"/>
                <w:sz w:val="18"/>
                <w:szCs w:val="18"/>
                <w:lang w:eastAsia="es-MX"/>
              </w:rPr>
              <w:lastRenderedPageBreak/>
              <w:t>de Consejo Consultivo.</w:t>
            </w:r>
          </w:p>
        </w:tc>
        <w:tc>
          <w:tcPr>
            <w:tcW w:w="1268" w:type="dxa"/>
            <w:tcBorders>
              <w:top w:val="single" w:sz="4" w:space="0" w:color="auto"/>
              <w:left w:val="single" w:sz="4" w:space="0" w:color="auto"/>
              <w:bottom w:val="single" w:sz="4" w:space="0" w:color="auto"/>
              <w:right w:val="single" w:sz="4" w:space="0" w:color="auto"/>
            </w:tcBorders>
            <w:vAlign w:val="center"/>
          </w:tcPr>
          <w:p w:rsidR="00C901BE" w:rsidRDefault="00C901BE" w:rsidP="00C901BE">
            <w:pPr>
              <w:jc w:val="center"/>
            </w:pPr>
            <w:r w:rsidRPr="00F43E89">
              <w:lastRenderedPageBreak/>
              <w:t>VALIDADA</w:t>
            </w:r>
          </w:p>
        </w:tc>
      </w:tr>
      <w:tr w:rsidR="00C901BE" w:rsidRPr="00C901BE" w:rsidTr="00A67581">
        <w:trPr>
          <w:trHeight w:val="132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lastRenderedPageBreak/>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single" w:sz="4" w:space="0" w:color="auto"/>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Arial"/>
                <w:b/>
                <w:bCs/>
                <w:i/>
                <w:iCs/>
                <w:sz w:val="18"/>
                <w:szCs w:val="18"/>
                <w:lang w:eastAsia="es-MX"/>
              </w:rPr>
              <w:t xml:space="preserve">Fracción XLVII </w:t>
            </w:r>
            <w:r w:rsidRPr="00C901BE">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48"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NO APLICA</w:t>
            </w:r>
          </w:p>
        </w:tc>
        <w:tc>
          <w:tcPr>
            <w:tcW w:w="2396"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832" w:type="dxa"/>
            <w:tcBorders>
              <w:top w:val="single" w:sz="4" w:space="0" w:color="auto"/>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 xml:space="preserve">El Sujeto Obligado Gubernatura no genera ni detenta la información relativa al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w:t>
            </w:r>
          </w:p>
        </w:tc>
        <w:tc>
          <w:tcPr>
            <w:tcW w:w="1268" w:type="dxa"/>
            <w:tcBorders>
              <w:top w:val="single" w:sz="4" w:space="0" w:color="auto"/>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r w:rsidR="00C901BE" w:rsidRPr="00C901BE" w:rsidTr="00A67581">
        <w:trPr>
          <w:trHeight w:val="1225"/>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Artículo 70</w:t>
            </w:r>
            <w:r w:rsidRPr="00C901BE">
              <w:rPr>
                <w:rFonts w:eastAsia="Times New Roman" w:cs="Times New Roman"/>
                <w:b/>
                <w:bCs/>
                <w:i/>
                <w:iCs/>
                <w:sz w:val="18"/>
                <w:szCs w:val="18"/>
                <w:lang w:eastAsia="es-MX"/>
              </w:rPr>
              <w:br/>
            </w:r>
            <w:r w:rsidRPr="00C901BE">
              <w:rPr>
                <w:rFonts w:eastAsia="Times New Roman" w:cs="Times New Roman"/>
                <w:i/>
                <w:iCs/>
                <w:sz w:val="18"/>
                <w:szCs w:val="18"/>
                <w:lang w:eastAsia="es-MX"/>
              </w:rPr>
              <w:br/>
              <w:t>…</w:t>
            </w:r>
          </w:p>
        </w:tc>
        <w:tc>
          <w:tcPr>
            <w:tcW w:w="3221" w:type="dxa"/>
            <w:tcBorders>
              <w:top w:val="single" w:sz="4" w:space="0" w:color="auto"/>
              <w:left w:val="nil"/>
              <w:bottom w:val="single" w:sz="4" w:space="0" w:color="auto"/>
              <w:right w:val="single" w:sz="4" w:space="0" w:color="auto"/>
            </w:tcBorders>
            <w:shd w:val="clear" w:color="auto" w:fill="auto"/>
            <w:hideMark/>
          </w:tcPr>
          <w:p w:rsidR="00C901BE" w:rsidRPr="00C901BE" w:rsidRDefault="00C901BE" w:rsidP="00B40F46">
            <w:pPr>
              <w:spacing w:after="0" w:line="240" w:lineRule="auto"/>
              <w:jc w:val="both"/>
              <w:rPr>
                <w:rFonts w:eastAsia="Times New Roman" w:cs="Times New Roman"/>
                <w:i/>
                <w:iCs/>
                <w:sz w:val="18"/>
                <w:szCs w:val="18"/>
                <w:lang w:eastAsia="es-MX"/>
              </w:rPr>
            </w:pPr>
            <w:r w:rsidRPr="00C901BE">
              <w:rPr>
                <w:rFonts w:eastAsia="Times New Roman" w:cs="Times New Roman"/>
                <w:b/>
                <w:bCs/>
                <w:i/>
                <w:iCs/>
                <w:sz w:val="18"/>
                <w:szCs w:val="18"/>
                <w:lang w:eastAsia="es-MX"/>
              </w:rPr>
              <w:t xml:space="preserve">Fracción XLVIII </w:t>
            </w:r>
            <w:r w:rsidRPr="00C901BE">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48"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w:t>
            </w:r>
          </w:p>
        </w:tc>
        <w:tc>
          <w:tcPr>
            <w:tcW w:w="2396"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C901BE" w:rsidRPr="00C901BE" w:rsidRDefault="00C901BE" w:rsidP="00B40F46">
            <w:pPr>
              <w:spacing w:after="0" w:line="240" w:lineRule="auto"/>
              <w:jc w:val="both"/>
              <w:rPr>
                <w:rFonts w:eastAsia="Times New Roman" w:cs="Times New Roman"/>
                <w:sz w:val="18"/>
                <w:szCs w:val="18"/>
                <w:lang w:eastAsia="es-MX"/>
              </w:rPr>
            </w:pPr>
          </w:p>
        </w:tc>
        <w:tc>
          <w:tcPr>
            <w:tcW w:w="1298" w:type="dxa"/>
            <w:tcBorders>
              <w:top w:val="single" w:sz="4" w:space="0" w:color="auto"/>
              <w:left w:val="nil"/>
              <w:bottom w:val="single" w:sz="4" w:space="0" w:color="auto"/>
              <w:right w:val="single" w:sz="4" w:space="0" w:color="auto"/>
            </w:tcBorders>
            <w:vAlign w:val="center"/>
          </w:tcPr>
          <w:p w:rsidR="00C901BE" w:rsidRPr="00C901BE" w:rsidRDefault="00C21E9E" w:rsidP="00B40F46">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Dirección Administrativa</w:t>
            </w:r>
          </w:p>
        </w:tc>
        <w:tc>
          <w:tcPr>
            <w:tcW w:w="1832" w:type="dxa"/>
            <w:tcBorders>
              <w:top w:val="single" w:sz="4" w:space="0" w:color="auto"/>
              <w:left w:val="single" w:sz="4" w:space="0" w:color="auto"/>
              <w:bottom w:val="single" w:sz="4" w:space="0" w:color="auto"/>
              <w:right w:val="single" w:sz="4" w:space="0" w:color="auto"/>
            </w:tcBorders>
          </w:tcPr>
          <w:p w:rsidR="00C901BE" w:rsidRPr="00C901BE" w:rsidRDefault="00C901BE" w:rsidP="00B40F46">
            <w:pPr>
              <w:spacing w:after="0" w:line="240" w:lineRule="auto"/>
              <w:jc w:val="both"/>
              <w:rPr>
                <w:rFonts w:eastAsia="Times New Roman" w:cs="Times New Roman"/>
                <w:sz w:val="18"/>
                <w:szCs w:val="18"/>
                <w:lang w:eastAsia="es-MX"/>
              </w:rPr>
            </w:pPr>
            <w:r w:rsidRPr="00C901BE">
              <w:rPr>
                <w:rFonts w:eastAsia="Times New Roman" w:cs="Times New Roman"/>
                <w:sz w:val="18"/>
                <w:szCs w:val="18"/>
                <w:lang w:eastAsia="es-MX"/>
              </w:rPr>
              <w:t>Aplica en términos de lo establecido en los Lineamientos Técnicos Generales para la publicación, homologación estandarización de la información</w:t>
            </w:r>
          </w:p>
        </w:tc>
        <w:tc>
          <w:tcPr>
            <w:tcW w:w="1268" w:type="dxa"/>
            <w:tcBorders>
              <w:top w:val="single" w:sz="4" w:space="0" w:color="auto"/>
              <w:left w:val="single" w:sz="4" w:space="0" w:color="auto"/>
              <w:bottom w:val="single" w:sz="4" w:space="0" w:color="auto"/>
              <w:right w:val="single" w:sz="4" w:space="0" w:color="auto"/>
            </w:tcBorders>
            <w:vAlign w:val="center"/>
          </w:tcPr>
          <w:p w:rsidR="00C901BE" w:rsidRDefault="00C901BE" w:rsidP="00C901BE">
            <w:pPr>
              <w:jc w:val="center"/>
            </w:pPr>
            <w:r w:rsidRPr="00F43E89">
              <w:t>VALIDADA</w:t>
            </w:r>
          </w:p>
        </w:tc>
      </w:tr>
    </w:tbl>
    <w:p w:rsidR="00C901BE" w:rsidRPr="00C901BE" w:rsidRDefault="00C901BE" w:rsidP="00C901BE">
      <w:pPr>
        <w:tabs>
          <w:tab w:val="left" w:pos="216"/>
        </w:tabs>
        <w:spacing w:after="0" w:line="240" w:lineRule="auto"/>
        <w:jc w:val="both"/>
        <w:rPr>
          <w:rFonts w:ascii="Calibri" w:eastAsia="Calibri" w:hAnsi="Calibri" w:cs="Calibri"/>
          <w:lang w:val="es-ES_tradnl" w:eastAsia="es-MX"/>
        </w:rPr>
      </w:pPr>
      <w:r w:rsidRPr="00C901BE">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C901BE" w:rsidRPr="00C901BE" w:rsidRDefault="00C901BE" w:rsidP="00C901BE">
      <w:pPr>
        <w:spacing w:after="0" w:line="240" w:lineRule="auto"/>
        <w:jc w:val="right"/>
        <w:rPr>
          <w:rFonts w:ascii="Times New Roman" w:eastAsia="Arial Unicode MS" w:hAnsi="Times New Roman" w:cs="Times New Roman"/>
          <w:b/>
          <w:i/>
          <w:sz w:val="18"/>
          <w:szCs w:val="18"/>
        </w:rPr>
      </w:pPr>
      <w:r w:rsidRPr="00C901BE">
        <w:rPr>
          <w:rFonts w:ascii="Times New Roman" w:eastAsia="Arial Unicode MS" w:hAnsi="Times New Roman" w:cs="Times New Roman"/>
          <w:sz w:val="24"/>
          <w:szCs w:val="24"/>
        </w:rPr>
        <w:t xml:space="preserve">Oaxaca de Juárez </w:t>
      </w:r>
      <w:proofErr w:type="spellStart"/>
      <w:r w:rsidRPr="00C901BE">
        <w:rPr>
          <w:rFonts w:ascii="Times New Roman" w:eastAsia="Arial Unicode MS" w:hAnsi="Times New Roman" w:cs="Times New Roman"/>
          <w:sz w:val="24"/>
          <w:szCs w:val="24"/>
        </w:rPr>
        <w:t>Oax</w:t>
      </w:r>
      <w:proofErr w:type="spellEnd"/>
      <w:r w:rsidRPr="00C901BE">
        <w:rPr>
          <w:rFonts w:ascii="Times New Roman" w:eastAsia="Arial Unicode MS" w:hAnsi="Times New Roman" w:cs="Times New Roman"/>
          <w:sz w:val="24"/>
          <w:szCs w:val="24"/>
        </w:rPr>
        <w:t xml:space="preserve">., </w:t>
      </w:r>
      <w:r w:rsidR="00A67581">
        <w:rPr>
          <w:rFonts w:ascii="Times New Roman" w:eastAsia="Arial Unicode MS" w:hAnsi="Times New Roman" w:cs="Times New Roman"/>
          <w:sz w:val="24"/>
          <w:szCs w:val="24"/>
        </w:rPr>
        <w:t>veintiséis</w:t>
      </w:r>
      <w:r w:rsidRPr="00C901BE">
        <w:rPr>
          <w:rFonts w:ascii="Times New Roman" w:eastAsia="Arial Unicode MS" w:hAnsi="Times New Roman" w:cs="Times New Roman"/>
          <w:sz w:val="24"/>
          <w:szCs w:val="24"/>
        </w:rPr>
        <w:t xml:space="preserve">  de </w:t>
      </w:r>
      <w:r w:rsidR="00A67581">
        <w:rPr>
          <w:rFonts w:ascii="Times New Roman" w:eastAsia="Arial Unicode MS" w:hAnsi="Times New Roman" w:cs="Times New Roman"/>
          <w:sz w:val="24"/>
          <w:szCs w:val="24"/>
        </w:rPr>
        <w:t>abril</w:t>
      </w:r>
      <w:r w:rsidRPr="00C901BE">
        <w:rPr>
          <w:rFonts w:ascii="Times New Roman" w:eastAsia="Arial Unicode MS" w:hAnsi="Times New Roman" w:cs="Times New Roman"/>
          <w:sz w:val="24"/>
          <w:szCs w:val="24"/>
        </w:rPr>
        <w:t xml:space="preserve"> de dos mil diecisiete.</w:t>
      </w:r>
    </w:p>
    <w:p w:rsidR="00C901BE" w:rsidRPr="00C901BE" w:rsidRDefault="00C901BE" w:rsidP="00C901BE">
      <w:pPr>
        <w:tabs>
          <w:tab w:val="left" w:pos="11303"/>
        </w:tabs>
        <w:spacing w:after="0" w:line="240" w:lineRule="auto"/>
        <w:rPr>
          <w:rFonts w:ascii="Times New Roman" w:eastAsia="Arial Unicode MS" w:hAnsi="Times New Roman" w:cs="Times New Roman"/>
          <w:b/>
          <w:sz w:val="18"/>
          <w:szCs w:val="18"/>
        </w:rPr>
      </w:pPr>
      <w:r w:rsidRPr="00C901BE">
        <w:rPr>
          <w:rFonts w:ascii="Times New Roman" w:eastAsia="Arial Unicode MS" w:hAnsi="Times New Roman" w:cs="Times New Roman"/>
          <w:b/>
          <w:sz w:val="18"/>
          <w:szCs w:val="18"/>
        </w:rPr>
        <w:tab/>
      </w:r>
    </w:p>
    <w:p w:rsidR="00C901BE" w:rsidRPr="00C901BE" w:rsidRDefault="00C901BE" w:rsidP="00C901BE">
      <w:pPr>
        <w:spacing w:after="0" w:line="240" w:lineRule="auto"/>
        <w:rPr>
          <w:rFonts w:ascii="Times New Roman" w:eastAsia="Arial Unicode MS" w:hAnsi="Times New Roman" w:cs="Times New Roman"/>
          <w:sz w:val="24"/>
          <w:szCs w:val="24"/>
        </w:rPr>
      </w:pPr>
      <w:r w:rsidRPr="00C901BE">
        <w:rPr>
          <w:rFonts w:ascii="Times New Roman" w:eastAsia="Arial Unicode MS" w:hAnsi="Times New Roman" w:cs="Times New Roman"/>
          <w:sz w:val="24"/>
          <w:szCs w:val="24"/>
        </w:rPr>
        <w:t xml:space="preserve">              ELABORÓ                                                                                                                                               </w:t>
      </w:r>
      <w:proofErr w:type="spellStart"/>
      <w:r w:rsidRPr="00C901BE">
        <w:rPr>
          <w:rFonts w:ascii="Times New Roman" w:eastAsia="Arial Unicode MS" w:hAnsi="Times New Roman" w:cs="Times New Roman"/>
          <w:sz w:val="24"/>
          <w:szCs w:val="24"/>
        </w:rPr>
        <w:t>Vo</w:t>
      </w:r>
      <w:proofErr w:type="spellEnd"/>
      <w:r w:rsidRPr="00C901BE">
        <w:rPr>
          <w:rFonts w:ascii="Times New Roman" w:eastAsia="Arial Unicode MS" w:hAnsi="Times New Roman" w:cs="Times New Roman"/>
          <w:sz w:val="24"/>
          <w:szCs w:val="24"/>
        </w:rPr>
        <w:t>. Bo.</w:t>
      </w:r>
    </w:p>
    <w:p w:rsidR="00C901BE" w:rsidRPr="00C901BE" w:rsidRDefault="00C901BE" w:rsidP="00C901BE">
      <w:pPr>
        <w:spacing w:after="0" w:line="240" w:lineRule="auto"/>
        <w:rPr>
          <w:rFonts w:ascii="Times New Roman" w:eastAsia="Arial Unicode MS" w:hAnsi="Times New Roman" w:cs="Times New Roman"/>
          <w:sz w:val="24"/>
          <w:szCs w:val="24"/>
        </w:rPr>
      </w:pPr>
    </w:p>
    <w:p w:rsidR="00C901BE" w:rsidRPr="00C901BE" w:rsidRDefault="00C901BE" w:rsidP="00C901BE">
      <w:pPr>
        <w:spacing w:after="0" w:line="240" w:lineRule="auto"/>
        <w:rPr>
          <w:rFonts w:ascii="Times New Roman" w:eastAsia="Arial Unicode MS" w:hAnsi="Times New Roman" w:cs="Times New Roman"/>
          <w:sz w:val="24"/>
          <w:szCs w:val="24"/>
        </w:rPr>
      </w:pPr>
    </w:p>
    <w:p w:rsidR="00C901BE" w:rsidRPr="00C901BE" w:rsidRDefault="00C901BE" w:rsidP="00C901BE">
      <w:pPr>
        <w:jc w:val="both"/>
        <w:rPr>
          <w:rFonts w:ascii="Calibri" w:eastAsia="Calibri" w:hAnsi="Calibri" w:cs="Times New Roman"/>
          <w:b/>
          <w:sz w:val="18"/>
          <w:szCs w:val="18"/>
        </w:rPr>
      </w:pPr>
      <w:r w:rsidRPr="00C901BE">
        <w:rPr>
          <w:rFonts w:ascii="Times New Roman" w:eastAsia="Arial Unicode MS" w:hAnsi="Times New Roman" w:cs="Times New Roman"/>
          <w:sz w:val="24"/>
          <w:szCs w:val="24"/>
        </w:rPr>
        <w:t>LIC. THOMAS AGUILAR MENDOZA</w:t>
      </w:r>
      <w:r w:rsidRPr="00C901BE">
        <w:rPr>
          <w:rFonts w:ascii="Times New Roman" w:eastAsia="Arial Unicode MS" w:hAnsi="Times New Roman" w:cs="Times New Roman"/>
          <w:sz w:val="24"/>
          <w:szCs w:val="24"/>
        </w:rPr>
        <w:tab/>
      </w:r>
      <w:r w:rsidRPr="00C901BE">
        <w:rPr>
          <w:rFonts w:ascii="Times New Roman" w:eastAsia="Arial Unicode MS" w:hAnsi="Times New Roman" w:cs="Times New Roman"/>
          <w:sz w:val="24"/>
          <w:szCs w:val="24"/>
        </w:rPr>
        <w:tab/>
      </w:r>
      <w:r w:rsidRPr="00C901BE">
        <w:rPr>
          <w:rFonts w:ascii="Times New Roman" w:eastAsia="Arial Unicode MS" w:hAnsi="Times New Roman" w:cs="Times New Roman"/>
          <w:sz w:val="24"/>
          <w:szCs w:val="24"/>
        </w:rPr>
        <w:tab/>
        <w:t xml:space="preserve">                                                     LIC.  RICARDO DORANTES JIMENEZ</w:t>
      </w:r>
    </w:p>
    <w:p w:rsidR="0086030A" w:rsidRPr="00C901BE" w:rsidRDefault="0086030A" w:rsidP="00797700">
      <w:pPr>
        <w:jc w:val="both"/>
        <w:rPr>
          <w:b/>
          <w:sz w:val="18"/>
          <w:szCs w:val="18"/>
        </w:rPr>
      </w:pPr>
    </w:p>
    <w:sectPr w:rsidR="0086030A" w:rsidRPr="00C901BE"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47F3"/>
    <w:rsid w:val="0004028D"/>
    <w:rsid w:val="00040E3E"/>
    <w:rsid w:val="000475C1"/>
    <w:rsid w:val="000E0289"/>
    <w:rsid w:val="000F7861"/>
    <w:rsid w:val="00126D56"/>
    <w:rsid w:val="001A521A"/>
    <w:rsid w:val="001B1A08"/>
    <w:rsid w:val="0022684C"/>
    <w:rsid w:val="00243520"/>
    <w:rsid w:val="00251753"/>
    <w:rsid w:val="00286BDC"/>
    <w:rsid w:val="002F34FF"/>
    <w:rsid w:val="002F4773"/>
    <w:rsid w:val="00351FC7"/>
    <w:rsid w:val="0035573C"/>
    <w:rsid w:val="003909AD"/>
    <w:rsid w:val="003916E0"/>
    <w:rsid w:val="004755BD"/>
    <w:rsid w:val="005221C7"/>
    <w:rsid w:val="005544CF"/>
    <w:rsid w:val="00566F76"/>
    <w:rsid w:val="00586D04"/>
    <w:rsid w:val="00597AF6"/>
    <w:rsid w:val="00606236"/>
    <w:rsid w:val="0061438A"/>
    <w:rsid w:val="00656AEC"/>
    <w:rsid w:val="006571CF"/>
    <w:rsid w:val="00657231"/>
    <w:rsid w:val="006766B8"/>
    <w:rsid w:val="0068055E"/>
    <w:rsid w:val="006939A1"/>
    <w:rsid w:val="00752E1C"/>
    <w:rsid w:val="00797700"/>
    <w:rsid w:val="00825DBE"/>
    <w:rsid w:val="008307CC"/>
    <w:rsid w:val="008375A5"/>
    <w:rsid w:val="0086030A"/>
    <w:rsid w:val="00897CE5"/>
    <w:rsid w:val="00904E68"/>
    <w:rsid w:val="009413BC"/>
    <w:rsid w:val="00947F79"/>
    <w:rsid w:val="009651B5"/>
    <w:rsid w:val="009C2E9B"/>
    <w:rsid w:val="009C39C9"/>
    <w:rsid w:val="00A01127"/>
    <w:rsid w:val="00A33583"/>
    <w:rsid w:val="00A37391"/>
    <w:rsid w:val="00A67581"/>
    <w:rsid w:val="00AA0D16"/>
    <w:rsid w:val="00AA3676"/>
    <w:rsid w:val="00AB4727"/>
    <w:rsid w:val="00B40F46"/>
    <w:rsid w:val="00B71E43"/>
    <w:rsid w:val="00B742E0"/>
    <w:rsid w:val="00C21E9E"/>
    <w:rsid w:val="00C901BE"/>
    <w:rsid w:val="00DE2A64"/>
    <w:rsid w:val="00DF2BB3"/>
    <w:rsid w:val="00E0338F"/>
    <w:rsid w:val="00E526B1"/>
    <w:rsid w:val="00E774C4"/>
    <w:rsid w:val="00EC6CCA"/>
    <w:rsid w:val="00ED6FAE"/>
    <w:rsid w:val="00EF1F0E"/>
    <w:rsid w:val="00F038BB"/>
    <w:rsid w:val="00F12F64"/>
    <w:rsid w:val="00F35AF5"/>
    <w:rsid w:val="00FB5519"/>
    <w:rsid w:val="00FC68C1"/>
    <w:rsid w:val="00FD2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25EC"/>
    <w:rPr>
      <w:color w:val="0000FF" w:themeColor="hyperlink"/>
      <w:u w:val="single"/>
    </w:rPr>
  </w:style>
  <w:style w:type="paragraph" w:styleId="Textodeglobo">
    <w:name w:val="Balloon Text"/>
    <w:basedOn w:val="Normal"/>
    <w:link w:val="TextodegloboCar"/>
    <w:uiPriority w:val="99"/>
    <w:semiHidden/>
    <w:unhideWhenUsed/>
    <w:rsid w:val="00C90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25EC"/>
    <w:rPr>
      <w:color w:val="0000FF" w:themeColor="hyperlink"/>
      <w:u w:val="single"/>
    </w:rPr>
  </w:style>
  <w:style w:type="paragraph" w:styleId="Textodeglobo">
    <w:name w:val="Balloon Text"/>
    <w:basedOn w:val="Normal"/>
    <w:link w:val="TextodegloboCar"/>
    <w:uiPriority w:val="99"/>
    <w:semiHidden/>
    <w:unhideWhenUsed/>
    <w:rsid w:val="00C90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3885</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4</cp:revision>
  <cp:lastPrinted>2017-05-04T15:06:00Z</cp:lastPrinted>
  <dcterms:created xsi:type="dcterms:W3CDTF">2017-05-04T15:17:00Z</dcterms:created>
  <dcterms:modified xsi:type="dcterms:W3CDTF">2017-05-15T21:29:00Z</dcterms:modified>
</cp:coreProperties>
</file>